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997" w:rsidRPr="00401D0D" w:rsidRDefault="00C11E40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5547"/>
      </w:tblGrid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Metody matematyczne w zarządzaniu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9C67DA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II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Katedra Ekonometrii i Statystyki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Dr Anna Wiśniewska-Sałek</w:t>
            </w:r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3B5997" w:rsidRPr="00401D0D">
        <w:tc>
          <w:tcPr>
            <w:tcW w:w="4045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3B5997" w:rsidRPr="00401D0D" w:rsidRDefault="00C11E40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3B5997" w:rsidRPr="00401D0D" w:rsidRDefault="003B5997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3B5997" w:rsidRPr="00401D0D" w:rsidRDefault="00C11E40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8"/>
        <w:gridCol w:w="1897"/>
        <w:gridCol w:w="2280"/>
        <w:gridCol w:w="1628"/>
        <w:gridCol w:w="1909"/>
      </w:tblGrid>
      <w:tr w:rsidR="003B5997" w:rsidRPr="00401D0D" w:rsidTr="00250DCE">
        <w:tc>
          <w:tcPr>
            <w:tcW w:w="1878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WYKŁAD</w:t>
            </w:r>
          </w:p>
        </w:tc>
        <w:tc>
          <w:tcPr>
            <w:tcW w:w="1897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ĆWICZENIA</w:t>
            </w:r>
          </w:p>
        </w:tc>
        <w:tc>
          <w:tcPr>
            <w:tcW w:w="2280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LABORATORIUM</w:t>
            </w:r>
          </w:p>
        </w:tc>
        <w:tc>
          <w:tcPr>
            <w:tcW w:w="1628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PROJEKT</w:t>
            </w:r>
          </w:p>
        </w:tc>
        <w:tc>
          <w:tcPr>
            <w:tcW w:w="1909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SEMINARIUM</w:t>
            </w:r>
          </w:p>
        </w:tc>
      </w:tr>
      <w:tr w:rsidR="003B5997" w:rsidRPr="00401D0D" w:rsidTr="00250DCE">
        <w:tc>
          <w:tcPr>
            <w:tcW w:w="1878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97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280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628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09" w:type="dxa"/>
          </w:tcPr>
          <w:p w:rsidR="003B5997" w:rsidRPr="00401D0D" w:rsidRDefault="00C11E40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3B5997" w:rsidRPr="00401D0D" w:rsidRDefault="003B5997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401D0D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3B5997" w:rsidRPr="00401D0D" w:rsidRDefault="00C11E40" w:rsidP="00401D0D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1. CEL PRZEDMIOTU</w:t>
      </w:r>
    </w:p>
    <w:p w:rsidR="003B5997" w:rsidRPr="00401D0D" w:rsidRDefault="00C11E40" w:rsidP="00401D0D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C1. Zapoznanie studentów z podstawowymi metodami rozwiązywania zagadnień matematycznych i matematycznego formalizowania problemów zarządzania</w:t>
      </w:r>
    </w:p>
    <w:p w:rsidR="003B5997" w:rsidRPr="00401D0D" w:rsidRDefault="00C11E40" w:rsidP="00401D0D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C2. Omówienie podstawowych metod analizy matematycznej.</w:t>
      </w:r>
    </w:p>
    <w:p w:rsidR="003B5997" w:rsidRPr="00401D0D" w:rsidRDefault="00C11E40" w:rsidP="00401D0D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C3. Prezentacja narzędzi analizy gospodarczej.</w:t>
      </w:r>
    </w:p>
    <w:p w:rsidR="003B5997" w:rsidRPr="00401D0D" w:rsidRDefault="003B5997" w:rsidP="00401D0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3B5997" w:rsidRPr="00401D0D" w:rsidRDefault="00C11E40" w:rsidP="00401D0D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lastRenderedPageBreak/>
        <w:t>2. WYMAGANIA WSTĘPNE W ZAKRESIE WIEDZY, UMIEJĘTNOŚCI I INNYCH KOMPETENCJI</w:t>
      </w:r>
    </w:p>
    <w:p w:rsidR="003B5997" w:rsidRPr="00401D0D" w:rsidRDefault="00C11E40" w:rsidP="00401D0D">
      <w:pPr>
        <w:spacing w:after="6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Student zna elementarne zasady matematyki.</w:t>
      </w:r>
    </w:p>
    <w:p w:rsidR="003B5997" w:rsidRPr="00401D0D" w:rsidRDefault="00C11E40" w:rsidP="00401D0D">
      <w:pPr>
        <w:spacing w:after="6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Student zna podstawy analizy matematycznej.</w:t>
      </w:r>
    </w:p>
    <w:p w:rsidR="003B5997" w:rsidRPr="00401D0D" w:rsidRDefault="00C11E40" w:rsidP="00401D0D">
      <w:pPr>
        <w:spacing w:after="6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Umiejętność pracy samodzielnej.</w:t>
      </w:r>
    </w:p>
    <w:p w:rsidR="003B5997" w:rsidRPr="00401D0D" w:rsidRDefault="00C11E40" w:rsidP="00401D0D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3. EFEKTY UCZENIA SIĘ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Po zakończeniu procesu uczenia się student: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EU 1 – potrafi dokonać analizy problemu wykorzystując rozwiązania algebry liniowej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EU 2 – potrafi dokonać analizy problemu wykorzystując rachunek prawdopodobieństwa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EU 3 – potrafi dokonać analizy gospodarczej wykorzystując umiejętności zarządzania portfelem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EU 4 – potrafi wykorzystać odpowiednie metody matematyczne do analizy działalności przedsiębiorstwa pod kątem jego efektywnego zarządzania</w:t>
      </w:r>
    </w:p>
    <w:p w:rsidR="003B5997" w:rsidRPr="00401D0D" w:rsidRDefault="003B5997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3B5997" w:rsidRPr="00401D0D" w:rsidRDefault="00C11E40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4. TREŚCI PROGRAMOWE</w:t>
      </w:r>
    </w:p>
    <w:tbl>
      <w:tblPr>
        <w:tblStyle w:val="a1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3"/>
        <w:gridCol w:w="1053"/>
      </w:tblGrid>
      <w:tr w:rsidR="003B5997" w:rsidRPr="00401D0D">
        <w:trPr>
          <w:trHeight w:val="113"/>
        </w:trPr>
        <w:tc>
          <w:tcPr>
            <w:tcW w:w="843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Forma zajęć – WYKŁADY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Liczba godzin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Moduł 1 – Algebra liniowa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W1: Działania na macierzach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W2: Wyznaczniki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W3: Macierz odwrotna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W4: Równanie macierzowe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W5: Trendy liniowe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5h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Moduł 2 – Rachunek prawdopodobieństwa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W6: Zmienna losowa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W7: Charakterystyka rozkładu zmiennych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W8: Rozkład dwumianowy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3h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Moduł 3 – Metody portfelowe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W9: Wprowadzenie do analizy portfelowej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W10: Analiza dynamiki portfela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W11: Analiza zależności portfela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lastRenderedPageBreak/>
              <w:t>W12: Budowa portfela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W13: Portfel optymalny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W14: Modelowanie optymalnego portfela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W15: Analiza portfela dwuskładnikowego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lastRenderedPageBreak/>
              <w:t>7h</w:t>
            </w:r>
          </w:p>
        </w:tc>
      </w:tr>
      <w:tr w:rsidR="003B5997" w:rsidRPr="00401D0D">
        <w:tc>
          <w:tcPr>
            <w:tcW w:w="8433" w:type="dxa"/>
            <w:vAlign w:val="center"/>
          </w:tcPr>
          <w:p w:rsidR="003B5997" w:rsidRPr="00401D0D" w:rsidRDefault="00C11E40">
            <w:pPr>
              <w:spacing w:after="0" w:line="360" w:lineRule="auto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razem</w:t>
            </w:r>
          </w:p>
        </w:tc>
        <w:tc>
          <w:tcPr>
            <w:tcW w:w="1053" w:type="dxa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15h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Forma zajęć – ĆWICZENIA</w:t>
            </w:r>
          </w:p>
        </w:tc>
        <w:tc>
          <w:tcPr>
            <w:tcW w:w="1053" w:type="dxa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Liczba godzin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Moduł 1 – Algebra liniowa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Ćw.1: Rozwiązywanie zadań z działań na macierzach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Ćw.2: Wyznaczniki - zadania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Ćw.3: Macierz odwrotna – rozwiązywanie zadań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Ćw.4: Rozwiązywanie zadań z równań macierzowych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Ćw.5: Trendy liniowe - zadania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10h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Moduł 2 – Rachunek prawdopodobieństwa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Ćw.6: Zmienna losowa – rozwiązywanie zadań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Ćw.7: Charakterystyka rozkładu zmiennych – rozwiązywanie zadań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Ćw.8: Rozkład dwumianowy – rozwiązywanie zadań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6h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Moduł 3 – Metody portfelowe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Ćw.9: Wprowadzenie do analizy portfelowej – praca własna w grupie nad projektem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Ćw.10: Analiza dynamiki portfela – indeksy 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Ćw.11: Analiza zależności portfela – korelacja 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Ćw.12: Budowa portfela optymalnego – praca własna w grupie nad projektem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Ćw.13: Modelowanie optymalnego portfela – praca własna w grupie nad projektem</w:t>
            </w:r>
          </w:p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Ćw.14: Analiza portfela dwuskładnikowego – praca własna w grupie nad projektem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12h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Ćw.15: Weryfikacja umiejętności matematycznych oraz prezentacja pracy projektowej</w:t>
            </w:r>
          </w:p>
        </w:tc>
        <w:tc>
          <w:tcPr>
            <w:tcW w:w="1053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2h</w:t>
            </w:r>
          </w:p>
        </w:tc>
      </w:tr>
      <w:tr w:rsidR="003B5997" w:rsidRPr="00401D0D">
        <w:tc>
          <w:tcPr>
            <w:tcW w:w="8433" w:type="dxa"/>
          </w:tcPr>
          <w:p w:rsidR="003B5997" w:rsidRPr="00401D0D" w:rsidRDefault="00C11E40">
            <w:pPr>
              <w:spacing w:after="0" w:line="360" w:lineRule="auto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                                         razem</w:t>
            </w:r>
          </w:p>
        </w:tc>
        <w:tc>
          <w:tcPr>
            <w:tcW w:w="1053" w:type="dxa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30h</w:t>
            </w:r>
          </w:p>
        </w:tc>
      </w:tr>
    </w:tbl>
    <w:p w:rsidR="003B5997" w:rsidRPr="00401D0D" w:rsidRDefault="003B5997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250DCE" w:rsidRDefault="00250DCE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lastRenderedPageBreak/>
        <w:t>5. NARZĘDZIA DYDAKTYCZNE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Sprzęt do prezentacji multimedialnych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Materiały przygotowane przez prowadzącego przedmiot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Podręczniki, skrypty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Platforma e-learningowa PCz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6. SPOSOBY OCENY ( F – FORMUJĄCA, P – PODSUMOWUJĄCA)</w:t>
      </w:r>
    </w:p>
    <w:tbl>
      <w:tblPr>
        <w:tblStyle w:val="a2"/>
        <w:tblW w:w="92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3B5997" w:rsidRPr="00401D0D">
        <w:tc>
          <w:tcPr>
            <w:tcW w:w="9210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F1. praca w grupach </w:t>
            </w:r>
          </w:p>
        </w:tc>
      </w:tr>
      <w:tr w:rsidR="003B5997" w:rsidRPr="00401D0D">
        <w:tc>
          <w:tcPr>
            <w:tcW w:w="9210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F2. aktywność na platformie e-learningowej PCz</w:t>
            </w:r>
          </w:p>
        </w:tc>
      </w:tr>
      <w:tr w:rsidR="003B5997" w:rsidRPr="00401D0D">
        <w:tc>
          <w:tcPr>
            <w:tcW w:w="9210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P1. kolokwium zaliczeniowe obejmujące zadania do rozwiązania</w:t>
            </w:r>
          </w:p>
        </w:tc>
      </w:tr>
      <w:tr w:rsidR="003B5997" w:rsidRPr="00401D0D">
        <w:tc>
          <w:tcPr>
            <w:tcW w:w="9210" w:type="dxa"/>
          </w:tcPr>
          <w:p w:rsidR="003B5997" w:rsidRPr="00401D0D" w:rsidRDefault="00C11E4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P2. projekt</w:t>
            </w:r>
          </w:p>
        </w:tc>
      </w:tr>
    </w:tbl>
    <w:p w:rsidR="003B5997" w:rsidRPr="00401D0D" w:rsidRDefault="003B5997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7.OBCIĄŻENIE PRACĄ STUDENTA</w:t>
      </w:r>
    </w:p>
    <w:tbl>
      <w:tblPr>
        <w:tblStyle w:val="a3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11"/>
        <w:gridCol w:w="2484"/>
        <w:gridCol w:w="2097"/>
      </w:tblGrid>
      <w:tr w:rsidR="003B5997" w:rsidRPr="00401D0D">
        <w:tc>
          <w:tcPr>
            <w:tcW w:w="5011" w:type="dxa"/>
            <w:vMerge w:val="restart"/>
          </w:tcPr>
          <w:p w:rsidR="003B5997" w:rsidRPr="00401D0D" w:rsidRDefault="00C11E4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4581" w:type="dxa"/>
            <w:gridSpan w:val="2"/>
          </w:tcPr>
          <w:p w:rsidR="003B5997" w:rsidRPr="00401D0D" w:rsidRDefault="00C11E40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B5997" w:rsidRPr="00401D0D">
        <w:tc>
          <w:tcPr>
            <w:tcW w:w="5011" w:type="dxa"/>
            <w:vMerge/>
          </w:tcPr>
          <w:p w:rsidR="003B5997" w:rsidRPr="00401D0D" w:rsidRDefault="003B59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84" w:type="dxa"/>
          </w:tcPr>
          <w:p w:rsidR="003B5997" w:rsidRPr="00401D0D" w:rsidRDefault="00C11E40">
            <w:pPr>
              <w:spacing w:after="12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2097" w:type="dxa"/>
          </w:tcPr>
          <w:p w:rsidR="003B5997" w:rsidRPr="00401D0D" w:rsidRDefault="00C11E40">
            <w:pPr>
              <w:spacing w:after="12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3B5997" w:rsidRPr="00401D0D">
        <w:tc>
          <w:tcPr>
            <w:tcW w:w="5011" w:type="dxa"/>
          </w:tcPr>
          <w:p w:rsidR="003B5997" w:rsidRPr="00401D0D" w:rsidRDefault="00C11E40" w:rsidP="0035397C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Godziny kontaktowe z prowadzącym wykład</w:t>
            </w:r>
          </w:p>
          <w:p w:rsidR="003B5997" w:rsidRPr="00401D0D" w:rsidRDefault="00C11E40" w:rsidP="0035397C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Godziny kontaktowe z prowadzącym ćwiczenia</w:t>
            </w:r>
          </w:p>
          <w:p w:rsidR="003B5997" w:rsidRPr="00401D0D" w:rsidRDefault="00C11E40" w:rsidP="0035397C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Przygotowanie do kolokwium </w:t>
            </w:r>
          </w:p>
          <w:p w:rsidR="003B5997" w:rsidRPr="00401D0D" w:rsidRDefault="00C11E40" w:rsidP="0035397C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Przygotowanie do projektu</w:t>
            </w:r>
          </w:p>
          <w:p w:rsidR="003B5997" w:rsidRPr="00401D0D" w:rsidRDefault="00C11E40" w:rsidP="0035397C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Zapoznanie się ze wskazaną literaturą</w:t>
            </w:r>
            <w:bookmarkStart w:id="0" w:name="_GoBack"/>
            <w:bookmarkEnd w:id="0"/>
          </w:p>
          <w:p w:rsidR="003B5997" w:rsidRPr="00401D0D" w:rsidRDefault="00C11E40" w:rsidP="0035397C">
            <w:pPr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  <w:vertAlign w:val="superscript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Obecność na konsultacjach</w:t>
            </w:r>
          </w:p>
        </w:tc>
        <w:tc>
          <w:tcPr>
            <w:tcW w:w="2484" w:type="dxa"/>
          </w:tcPr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15 h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30 h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25 h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10 h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15 h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5 h</w:t>
            </w:r>
          </w:p>
        </w:tc>
        <w:tc>
          <w:tcPr>
            <w:tcW w:w="2097" w:type="dxa"/>
          </w:tcPr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0,6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1,2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1,0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0,4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0,6</w:t>
            </w:r>
          </w:p>
          <w:p w:rsidR="003B5997" w:rsidRPr="00401D0D" w:rsidRDefault="00C11E40" w:rsidP="0035397C">
            <w:pP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0,2</w:t>
            </w:r>
          </w:p>
        </w:tc>
      </w:tr>
      <w:tr w:rsidR="003B5997" w:rsidRPr="00401D0D">
        <w:tc>
          <w:tcPr>
            <w:tcW w:w="5011" w:type="dxa"/>
          </w:tcPr>
          <w:p w:rsidR="003B5997" w:rsidRPr="00401D0D" w:rsidRDefault="00C11E40" w:rsidP="0035397C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SUMARYCZNA LICZBA PUNKTÓW ECTS DLA PRZEDMIOTU</w:t>
            </w:r>
          </w:p>
        </w:tc>
        <w:tc>
          <w:tcPr>
            <w:tcW w:w="2484" w:type="dxa"/>
          </w:tcPr>
          <w:p w:rsidR="003B5997" w:rsidRPr="00401D0D" w:rsidRDefault="00C11E40" w:rsidP="0035397C">
            <w:pP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100 h</w:t>
            </w:r>
          </w:p>
        </w:tc>
        <w:tc>
          <w:tcPr>
            <w:tcW w:w="2097" w:type="dxa"/>
          </w:tcPr>
          <w:p w:rsidR="003B5997" w:rsidRPr="00401D0D" w:rsidRDefault="00C11E40" w:rsidP="0035397C">
            <w:pP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</w:tr>
    </w:tbl>
    <w:p w:rsidR="003B5997" w:rsidRPr="00401D0D" w:rsidRDefault="003B5997" w:rsidP="00401D0D">
      <w:pPr>
        <w:spacing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3B5997" w:rsidRPr="00401D0D" w:rsidRDefault="00C11E40" w:rsidP="00401D0D">
      <w:pPr>
        <w:spacing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401D0D">
        <w:rPr>
          <w:rFonts w:ascii="Arial" w:eastAsia="Arial" w:hAnsi="Arial" w:cs="Arial"/>
          <w:b/>
          <w:color w:val="000000"/>
          <w:sz w:val="24"/>
          <w:szCs w:val="24"/>
        </w:rPr>
        <w:t>LITERATURA PODSTAWOWA I UZUPEŁNIAJĄCA</w:t>
      </w:r>
    </w:p>
    <w:tbl>
      <w:tblPr>
        <w:tblStyle w:val="a4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3B5997" w:rsidRPr="00401D0D">
        <w:tc>
          <w:tcPr>
            <w:tcW w:w="9210" w:type="dxa"/>
            <w:shd w:val="clear" w:color="auto" w:fill="auto"/>
          </w:tcPr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Algebra liniowa : definicje, twierdzenia, wzory / Teresa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Jurlewicz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Zbigniew Skoczylas, Wrocław Oficyna Wydawnicza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GiS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, 2021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Modele i metody statystyki matematycznej w zadaniach / Alicja Jokiel-Rokita, Ryszard Magiera, Wrocław : Ofic. Wydaw. GIS, 2018.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Algebra liniowa: kolokwia i egzaminy / Teresa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Jurlewicz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Wrocław: Oficyna Wydaw.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GiS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, 2018.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Algebra liniowa: przykłady i zadania / Teresa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Jurlewicz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Zbigniew Skoczylas, Wrocław : Oficyna Wydaw.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GiS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, 2017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Algebra liniowa: definicje, twierdzenia, wzory / Teresa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Jurlewicz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Zbigniew Skoczylas, Wrocław: Oficyna Wydaw.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GiS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, 2015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Rachunek prawdopodobieństwa / oprac. Włodzimierz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Krysicki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, Warszawa : Wydaw. Nauk. PWN, 2012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Rachunek prawdopodobieństwa i statystyka matematyczna: definicje, twierdzenia, wzory / Wojciech Kordecki, Wrocław : Ofic. Wydaw. GIS, 2010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MS Project 2013 &amp; MS Project Server 2013: efektywne zarządzanie projektem i portfelem projektów / Sebastian Wilczewski, Gliwice : Wydawnictwo Helion, 2014.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Zarządzanie portfelem inwestycyjnym: inwestor indywidualny na rynku finansowym / red. nauk. Joanna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Cichorska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, Katowice : Wydaw. Uniwersytetu Ekonomicznego, 2015.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Zawód inwestor giełdowy: psychologia rynków, taktyka inwestycyjna, zarządzanie portfelem / Alexander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Elder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; tł. z ang., Kraków : Oficyna Ekonomiczna, 2006.</w:t>
            </w:r>
          </w:p>
        </w:tc>
      </w:tr>
    </w:tbl>
    <w:p w:rsidR="003B5997" w:rsidRPr="00401D0D" w:rsidRDefault="00C11E40" w:rsidP="00401D0D">
      <w:pPr>
        <w:spacing w:before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lastRenderedPageBreak/>
        <w:t>Literatura uzupełniająca:</w:t>
      </w:r>
    </w:p>
    <w:tbl>
      <w:tblPr>
        <w:tblStyle w:val="a5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3B5997" w:rsidRPr="00401D0D">
        <w:trPr>
          <w:trHeight w:val="596"/>
        </w:trPr>
        <w:tc>
          <w:tcPr>
            <w:tcW w:w="9210" w:type="dxa"/>
          </w:tcPr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Paweł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Cabała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, Zarządzanie portfelem projektów w organizacji: Koncepcje i kierunki badań,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Mfiles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pl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>, 2018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Krzysztof Woźniak, Narzędzia analityczne w naukach ekonomicznych,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Mfiles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pl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>, 2015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Krzysztof Piasecki, Marcin Anholcer, Matematyka wspomagająca zarządzanie w zadaniach, Wydawnictwo Uniwersytetu Ekonomicznego, 2012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>Marek Ćwiklicki, Marek Jabłoński, Tomasz Włodarek,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Wiśniewska-Sałek Anna,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Łęgowik-Świącik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Sylwia, Grondys Katarzyna, Stępień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Marci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, The Financial and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Economic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Analysis of the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Situation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of Business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Entities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Using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Quantitative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401D0D">
              <w:rPr>
                <w:rFonts w:ascii="Arial" w:eastAsia="Arial" w:hAnsi="Arial" w:cs="Arial"/>
                <w:sz w:val="24"/>
                <w:szCs w:val="24"/>
              </w:rPr>
              <w:t>Methods</w:t>
            </w:r>
            <w:proofErr w:type="spellEnd"/>
            <w:r w:rsidRPr="00401D0D">
              <w:rPr>
                <w:rFonts w:ascii="Arial" w:eastAsia="Arial" w:hAnsi="Arial" w:cs="Arial"/>
                <w:sz w:val="24"/>
                <w:szCs w:val="24"/>
              </w:rPr>
              <w:t>, 2019, DOI:10.20472/EFC.2016.006.019</w:t>
            </w:r>
          </w:p>
          <w:p w:rsidR="003B5997" w:rsidRPr="00401D0D" w:rsidRDefault="00C11E40" w:rsidP="00401D0D">
            <w:pPr>
              <w:spacing w:after="0" w:line="360" w:lineRule="auto"/>
              <w:ind w:left="-10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Wiśniewska-Sałek Anna,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Managing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Sustainable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Supply Chain - Statistical Analysis of Natural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Resources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the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Furniture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Industry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Management Systems in </w:t>
            </w:r>
            <w:proofErr w:type="spellStart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Production</w:t>
            </w:r>
            <w:proofErr w:type="spellEnd"/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Engineering 29/3, 2021</w:t>
            </w:r>
          </w:p>
        </w:tc>
      </w:tr>
    </w:tbl>
    <w:p w:rsidR="003B5997" w:rsidRPr="00401D0D" w:rsidRDefault="003B5997" w:rsidP="00401D0D">
      <w:pPr>
        <w:spacing w:after="0" w:line="360" w:lineRule="auto"/>
        <w:ind w:left="357"/>
        <w:jc w:val="both"/>
        <w:rPr>
          <w:rFonts w:ascii="Arial" w:eastAsia="Arial" w:hAnsi="Arial" w:cs="Arial"/>
          <w:b/>
          <w:sz w:val="24"/>
          <w:szCs w:val="24"/>
        </w:rPr>
      </w:pP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dr Anna Wiśniewska-Sałek  - a.wisniewska-salek@pcz.pl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sz w:val="24"/>
          <w:szCs w:val="24"/>
        </w:rPr>
        <w:t>dr Magdalena Scherer – magdalena.scherer@pcz.pl</w:t>
      </w:r>
    </w:p>
    <w:p w:rsidR="003B5997" w:rsidRPr="00401D0D" w:rsidRDefault="00C11E40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401D0D">
        <w:rPr>
          <w:rFonts w:ascii="Arial" w:eastAsia="Arial" w:hAnsi="Arial" w:cs="Arial"/>
          <w:b/>
          <w:sz w:val="24"/>
          <w:szCs w:val="24"/>
        </w:rPr>
        <w:t>10. MACIERZ REALIZACJI EFEKTÓW UCZENIA SIĘ</w:t>
      </w:r>
    </w:p>
    <w:tbl>
      <w:tblPr>
        <w:tblStyle w:val="a6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9"/>
        <w:gridCol w:w="2176"/>
        <w:gridCol w:w="1532"/>
        <w:gridCol w:w="1701"/>
        <w:gridCol w:w="1701"/>
        <w:gridCol w:w="1127"/>
      </w:tblGrid>
      <w:tr w:rsidR="003B5997" w:rsidRPr="00401D0D" w:rsidTr="00250DCE">
        <w:tc>
          <w:tcPr>
            <w:tcW w:w="1249" w:type="dxa"/>
          </w:tcPr>
          <w:p w:rsidR="003B5997" w:rsidRPr="00401D0D" w:rsidRDefault="00250DCE" w:rsidP="00250DCE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Efekt uczenia się </w:t>
            </w:r>
          </w:p>
        </w:tc>
        <w:tc>
          <w:tcPr>
            <w:tcW w:w="2176" w:type="dxa"/>
          </w:tcPr>
          <w:p w:rsidR="003B5997" w:rsidRPr="00401D0D" w:rsidRDefault="00C11E40" w:rsidP="00250DCE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 (PRK)</w:t>
            </w:r>
          </w:p>
        </w:tc>
        <w:tc>
          <w:tcPr>
            <w:tcW w:w="1532" w:type="dxa"/>
          </w:tcPr>
          <w:p w:rsidR="003B5997" w:rsidRPr="00401D0D" w:rsidRDefault="00C11E40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701" w:type="dxa"/>
          </w:tcPr>
          <w:p w:rsidR="003B5997" w:rsidRPr="00401D0D" w:rsidRDefault="00C11E40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701" w:type="dxa"/>
          </w:tcPr>
          <w:p w:rsidR="003B5997" w:rsidRPr="00401D0D" w:rsidRDefault="00C11E40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27" w:type="dxa"/>
          </w:tcPr>
          <w:p w:rsidR="003B5997" w:rsidRPr="00401D0D" w:rsidRDefault="00C11E40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3B5997" w:rsidRPr="00401D0D" w:rsidTr="00250DCE">
        <w:tc>
          <w:tcPr>
            <w:tcW w:w="1249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EU 1</w:t>
            </w:r>
          </w:p>
        </w:tc>
        <w:tc>
          <w:tcPr>
            <w:tcW w:w="2176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K_W05, K_U07, K_K02</w:t>
            </w:r>
          </w:p>
        </w:tc>
        <w:tc>
          <w:tcPr>
            <w:tcW w:w="1532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C1, C2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W 1-8</w:t>
            </w:r>
          </w:p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Ćw. 1-8, 15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1127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P1, F2</w:t>
            </w:r>
          </w:p>
        </w:tc>
      </w:tr>
      <w:tr w:rsidR="003B5997" w:rsidRPr="00401D0D" w:rsidTr="00250DCE">
        <w:tc>
          <w:tcPr>
            <w:tcW w:w="1249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EU 2</w:t>
            </w:r>
          </w:p>
        </w:tc>
        <w:tc>
          <w:tcPr>
            <w:tcW w:w="2176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K_W05, K_U07, K_K02</w:t>
            </w:r>
          </w:p>
        </w:tc>
        <w:tc>
          <w:tcPr>
            <w:tcW w:w="1532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C1, C2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W 6-8</w:t>
            </w:r>
          </w:p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Ćw. 6-8, 15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1127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P1, F2</w:t>
            </w:r>
          </w:p>
        </w:tc>
      </w:tr>
      <w:tr w:rsidR="003B5997" w:rsidRPr="00401D0D" w:rsidTr="00250DCE">
        <w:tc>
          <w:tcPr>
            <w:tcW w:w="1249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EU 3</w:t>
            </w:r>
          </w:p>
        </w:tc>
        <w:tc>
          <w:tcPr>
            <w:tcW w:w="2176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K_W08, K_U09, K_K02</w:t>
            </w:r>
          </w:p>
        </w:tc>
        <w:tc>
          <w:tcPr>
            <w:tcW w:w="1532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C1, C3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W 9-15</w:t>
            </w:r>
          </w:p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Ćw. 9-15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1127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F1, F2</w:t>
            </w:r>
          </w:p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P2</w:t>
            </w:r>
          </w:p>
        </w:tc>
      </w:tr>
      <w:tr w:rsidR="003B5997" w:rsidRPr="00401D0D" w:rsidTr="00250DCE">
        <w:tc>
          <w:tcPr>
            <w:tcW w:w="1249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EU 4</w:t>
            </w:r>
          </w:p>
        </w:tc>
        <w:tc>
          <w:tcPr>
            <w:tcW w:w="2176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K_W08, K_U09, K_K02</w:t>
            </w:r>
          </w:p>
        </w:tc>
        <w:tc>
          <w:tcPr>
            <w:tcW w:w="1532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C1, C3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W 9-15</w:t>
            </w:r>
          </w:p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Ćw. 9-15</w:t>
            </w:r>
          </w:p>
        </w:tc>
        <w:tc>
          <w:tcPr>
            <w:tcW w:w="1701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1127" w:type="dxa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F1, F2</w:t>
            </w:r>
          </w:p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P2</w:t>
            </w:r>
          </w:p>
        </w:tc>
      </w:tr>
    </w:tbl>
    <w:p w:rsidR="003B5997" w:rsidRPr="00401D0D" w:rsidRDefault="003B5997">
      <w:pP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3B5997" w:rsidRPr="00401D0D" w:rsidRDefault="00C11E4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 w:rsidRPr="00401D0D">
        <w:rPr>
          <w:rFonts w:ascii="Arial" w:eastAsia="Arial" w:hAnsi="Arial" w:cs="Arial"/>
          <w:b/>
          <w:color w:val="000000"/>
          <w:sz w:val="24"/>
          <w:szCs w:val="24"/>
        </w:rPr>
        <w:t>FORMY OCENY – SZCZEGÓŁY</w:t>
      </w:r>
    </w:p>
    <w:p w:rsidR="003B5997" w:rsidRPr="00401D0D" w:rsidRDefault="003B5997">
      <w:pP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tbl>
      <w:tblPr>
        <w:tblStyle w:val="a7"/>
        <w:tblW w:w="94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12"/>
        <w:gridCol w:w="2160"/>
        <w:gridCol w:w="2160"/>
        <w:gridCol w:w="2160"/>
        <w:gridCol w:w="2288"/>
      </w:tblGrid>
      <w:tr w:rsidR="003B5997" w:rsidRPr="00401D0D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3B5997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Na ocenę 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Na ocenę 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Na ocenę 4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Na ocenę 5</w:t>
            </w:r>
          </w:p>
        </w:tc>
      </w:tr>
      <w:tr w:rsidR="003B5997" w:rsidRPr="00401D0D">
        <w:trPr>
          <w:trHeight w:val="411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Efekt 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nie potrafi rozwiązać zadań z zakresu algebry liniowej</w:t>
            </w:r>
          </w:p>
          <w:p w:rsidR="003B5997" w:rsidRPr="00401D0D" w:rsidRDefault="003B5997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rozwiązać zadania z zakresu algebry liniowej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dokonać wyboru wzoru w zakresie zadań z algebry liniowej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posiada umiejętność przeprowadzenia kalkulacji zadań z algebry liniowej</w:t>
            </w:r>
          </w:p>
        </w:tc>
      </w:tr>
      <w:tr w:rsidR="003B5997" w:rsidRPr="00401D0D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Efekt 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nie potrafi rozwiązać zadań z zakresu rachunku prawdopodobieństwa</w:t>
            </w:r>
          </w:p>
          <w:p w:rsidR="003B5997" w:rsidRPr="00401D0D" w:rsidRDefault="003B5997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rozwiązać zadania z zakresu rachunku prawdopodobieństwa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dokonać wyboru wzoru w zakresie zadań z rachunku prawdopodobieństwa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posiada umiejętność przeprowadzenia kalkulacji zadań z rachunku prawdopodobieństwa</w:t>
            </w:r>
          </w:p>
        </w:tc>
      </w:tr>
      <w:tr w:rsidR="003B5997" w:rsidRPr="00401D0D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Efekt 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nie potrafi dokonać analizy portfela inwestycji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dokonać analizy portfela inwestycji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Student potrafi wykorzystać dostępne </w:t>
            </w: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narzędzia matematyczne do analizy portfela inwestycji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Student potrafi wykorzystać dostępne narzędzia </w:t>
            </w: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matematyczne do analizy portfela inwestycji oraz dokonać pełnej interpretacji wyników</w:t>
            </w:r>
          </w:p>
        </w:tc>
      </w:tr>
      <w:tr w:rsidR="003B5997" w:rsidRPr="00401D0D"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nie wie jak wykorzystać odpowiednie metody matematyczne do analizy działalności przedsiębiorstwa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wie jak wykorzystać odpowiednie metody matematyczne do analizy działalności przedsiębiorstwa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wykorzystać narzędzia matematyczne do analizy kondycji działalności przedsiębiorstwa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997" w:rsidRPr="00401D0D" w:rsidRDefault="00C11E40">
            <w:pPr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1D0D"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potrafi wykorzystać narzędzia matematyczne do analizy kondycji działalności przedsiębiorstwa oraz dokonać pełnej interpretacji wyników</w:t>
            </w:r>
          </w:p>
        </w:tc>
      </w:tr>
    </w:tbl>
    <w:p w:rsidR="00401D0D" w:rsidRDefault="00401D0D" w:rsidP="00401D0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401D0D" w:rsidRPr="00401D0D" w:rsidRDefault="00401D0D">
      <w:pPr>
        <w:spacing w:line="360" w:lineRule="auto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</w:p>
    <w:p w:rsidR="003B5997" w:rsidRPr="00401D0D" w:rsidRDefault="00C11E40">
      <w:pPr>
        <w:spacing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 w:rsidRPr="00401D0D">
        <w:rPr>
          <w:rFonts w:ascii="Arial" w:eastAsia="Arial" w:hAnsi="Arial" w:cs="Arial"/>
          <w:b/>
          <w:color w:val="000000"/>
          <w:sz w:val="24"/>
          <w:szCs w:val="24"/>
        </w:rPr>
        <w:t>12. INNE PRZYDATNE INFORMACJE O PRZEDMIOCIE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Informacje, gdzie można zapoznać się z prezentacjami do zajęć itp. (jeśli to konieczne) przesyłane są drogą elektroniczną na adresy e-mailowe poszczególnych grup dziekańskich.</w:t>
      </w:r>
    </w:p>
    <w:p w:rsidR="003B5997" w:rsidRPr="00401D0D" w:rsidRDefault="00C11E40" w:rsidP="00401D0D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Informacje na temat miejsca odbywania się zajęć znajdują się na stronie internetowej wydziału.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Informacje na temat terminu zajęć (dzień tygodnia, godzina) znajdują się na stronie internetowej wydziału.</w:t>
      </w:r>
    </w:p>
    <w:p w:rsidR="003B5997" w:rsidRPr="00401D0D" w:rsidRDefault="00C11E40">
      <w:p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401D0D">
        <w:rPr>
          <w:rFonts w:ascii="Arial" w:eastAsia="Arial" w:hAnsi="Arial" w:cs="Arial"/>
          <w:color w:val="000000"/>
          <w:sz w:val="24"/>
          <w:szCs w:val="24"/>
        </w:rPr>
        <w:t>Informacje na temat konsultacji (godziny, miejsce) podawane są studentom na pierwszych zajęciach, znajdują się na stronie internetowej wydziału oraz w gablocie informacyjnej Katedry</w:t>
      </w:r>
    </w:p>
    <w:sectPr w:rsidR="003B5997" w:rsidRPr="00401D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55C" w:rsidRDefault="006F055C">
      <w:pPr>
        <w:spacing w:after="0" w:line="240" w:lineRule="auto"/>
      </w:pPr>
      <w:r>
        <w:separator/>
      </w:r>
    </w:p>
  </w:endnote>
  <w:endnote w:type="continuationSeparator" w:id="0">
    <w:p w:rsidR="006F055C" w:rsidRDefault="006F0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97" w:rsidRDefault="003B599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97" w:rsidRDefault="00C11E4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35397C">
      <w:rPr>
        <w:rFonts w:ascii="Times New Roman" w:eastAsia="Times New Roman" w:hAnsi="Times New Roman" w:cs="Times New Roman"/>
        <w:noProof/>
        <w:color w:val="000000"/>
        <w:sz w:val="20"/>
        <w:szCs w:val="20"/>
      </w:rPr>
      <w:t>7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3B5997" w:rsidRDefault="003B5997">
    <w:pPr>
      <w:ind w:right="36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97" w:rsidRDefault="003B599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55C" w:rsidRDefault="006F055C">
      <w:pPr>
        <w:spacing w:after="0" w:line="240" w:lineRule="auto"/>
      </w:pPr>
      <w:r>
        <w:separator/>
      </w:r>
    </w:p>
  </w:footnote>
  <w:footnote w:type="continuationSeparator" w:id="0">
    <w:p w:rsidR="006F055C" w:rsidRDefault="006F0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97" w:rsidRDefault="003B59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97" w:rsidRDefault="003B59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97" w:rsidRDefault="00C11E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bookmarkStart w:id="1" w:name="_heading=h.gjdgxs" w:colFirst="0" w:colLast="0"/>
    <w:bookmarkEnd w:id="1"/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3B5997" w:rsidRDefault="003B59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B4AF7"/>
    <w:multiLevelType w:val="multilevel"/>
    <w:tmpl w:val="2FD8C9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997"/>
    <w:rsid w:val="00250DCE"/>
    <w:rsid w:val="0035397C"/>
    <w:rsid w:val="003B5997"/>
    <w:rsid w:val="00401D0D"/>
    <w:rsid w:val="006A316F"/>
    <w:rsid w:val="006F055C"/>
    <w:rsid w:val="009C67DA"/>
    <w:rsid w:val="00B936AE"/>
    <w:rsid w:val="00C11E40"/>
    <w:rsid w:val="00DA52B8"/>
    <w:rsid w:val="00E1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34D61-AC22-4386-9763-3FE3FBEB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5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Nl0Qw2qNULe9v3Rpp0jXHfeGlg==">CgMxLjAyCGguZ2pkZ3hzOAByITFqSlhPdDV6NDdfVERHQ1FJV1QzVi0tUVVNV2QxbllnVA==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1282</Words>
  <Characters>7692</Characters>
  <Application>Microsoft Office Word</Application>
  <DocSecurity>0</DocSecurity>
  <Lines>64</Lines>
  <Paragraphs>17</Paragraphs>
  <ScaleCrop>false</ScaleCrop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8</cp:revision>
  <dcterms:created xsi:type="dcterms:W3CDTF">2024-01-12T20:48:00Z</dcterms:created>
  <dcterms:modified xsi:type="dcterms:W3CDTF">2024-02-27T09:59:00Z</dcterms:modified>
</cp:coreProperties>
</file>